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48" w:rsidRPr="00103889" w:rsidRDefault="009D3D48" w:rsidP="00A81E74">
      <w:pPr>
        <w:widowControl w:val="0"/>
        <w:spacing w:before="120" w:line="276" w:lineRule="auto"/>
        <w:ind w:firstLine="709"/>
        <w:jc w:val="both"/>
      </w:pPr>
      <w:bookmarkStart w:id="0" w:name="_GoBack"/>
      <w:r w:rsidRPr="00103889">
        <w:t xml:space="preserve">Согласование </w:t>
      </w:r>
      <w:r w:rsidRPr="00103889">
        <w:rPr>
          <w:b/>
          <w:bCs/>
          <w:i/>
          <w:iCs/>
        </w:rPr>
        <w:t>строительства (ремонта, реконструкции) зданий, строений, сооружений на ВВП</w:t>
      </w:r>
      <w:r w:rsidRPr="00103889">
        <w:t xml:space="preserve"> может проводиться в три этапа:</w:t>
      </w:r>
    </w:p>
    <w:p w:rsidR="009D3D48" w:rsidRPr="00103889" w:rsidRDefault="009D3D48" w:rsidP="00A81E74">
      <w:pPr>
        <w:widowControl w:val="0"/>
        <w:spacing w:line="276" w:lineRule="auto"/>
        <w:ind w:firstLine="709"/>
        <w:jc w:val="both"/>
      </w:pPr>
      <w:r w:rsidRPr="00103889">
        <w:t>первый этап - согласование местоположения объекта и выдача технических условий на проектирование;</w:t>
      </w:r>
    </w:p>
    <w:p w:rsidR="009D3D48" w:rsidRPr="00103889" w:rsidRDefault="009D3D48" w:rsidP="00A81E74">
      <w:pPr>
        <w:widowControl w:val="0"/>
        <w:spacing w:line="276" w:lineRule="auto"/>
        <w:ind w:firstLine="709"/>
        <w:jc w:val="both"/>
      </w:pPr>
      <w:proofErr w:type="gramStart"/>
      <w:r w:rsidRPr="00103889">
        <w:t>второй этап – согласование проектной документации (стадии «</w:t>
      </w:r>
      <w:proofErr w:type="spellStart"/>
      <w:r w:rsidRPr="00103889">
        <w:t>Предпроектное</w:t>
      </w:r>
      <w:proofErr w:type="spellEnd"/>
      <w:r w:rsidRPr="00103889">
        <w:t xml:space="preserve"> предложение», «Проект» и «Рабочий проект» (Рабочая документация);</w:t>
      </w:r>
      <w:proofErr w:type="gramEnd"/>
    </w:p>
    <w:p w:rsidR="009D3D48" w:rsidRPr="00103889" w:rsidRDefault="009D3D48" w:rsidP="00A81E74">
      <w:pPr>
        <w:widowControl w:val="0"/>
        <w:spacing w:line="276" w:lineRule="auto"/>
        <w:ind w:firstLine="709"/>
        <w:jc w:val="both"/>
      </w:pPr>
      <w:proofErr w:type="gramStart"/>
      <w:r w:rsidRPr="00103889">
        <w:t>третий этап - согласование строительства (ремонта, реконструкции) – стадии «ПОС» и/или «ППР».</w:t>
      </w:r>
      <w:proofErr w:type="gramEnd"/>
    </w:p>
    <w:p w:rsidR="009D3D48" w:rsidRPr="00103889" w:rsidRDefault="009D3D48" w:rsidP="00A81E74">
      <w:pPr>
        <w:widowControl w:val="0"/>
        <w:spacing w:line="276" w:lineRule="auto"/>
        <w:ind w:firstLine="709"/>
        <w:jc w:val="both"/>
      </w:pPr>
      <w:r w:rsidRPr="00103889">
        <w:rPr>
          <w:u w:val="single"/>
        </w:rPr>
        <w:t>На первом этапе согласования</w:t>
      </w:r>
      <w:r w:rsidRPr="00103889">
        <w:t xml:space="preserve"> других документов, </w:t>
      </w:r>
      <w:proofErr w:type="gramStart"/>
      <w:r w:rsidRPr="00103889">
        <w:t>кроме</w:t>
      </w:r>
      <w:proofErr w:type="gramEnd"/>
      <w:r w:rsidRPr="00103889">
        <w:t xml:space="preserve"> перечисленных в </w:t>
      </w:r>
      <w:hyperlink r:id="rId5" w:history="1">
        <w:r w:rsidRPr="009D3D48">
          <w:rPr>
            <w:rStyle w:val="a3"/>
          </w:rPr>
          <w:t>письмо-заявление</w:t>
        </w:r>
      </w:hyperlink>
      <w:r>
        <w:t xml:space="preserve"> </w:t>
      </w:r>
      <w:r w:rsidRPr="00103889">
        <w:t>не требуется.</w:t>
      </w:r>
    </w:p>
    <w:p w:rsidR="009D3D48" w:rsidRPr="00103889" w:rsidRDefault="009D3D48" w:rsidP="00A81E74">
      <w:pPr>
        <w:widowControl w:val="0"/>
        <w:spacing w:line="276" w:lineRule="auto"/>
        <w:ind w:firstLine="709"/>
        <w:jc w:val="both"/>
      </w:pPr>
      <w:r w:rsidRPr="00103889">
        <w:rPr>
          <w:u w:val="single"/>
        </w:rPr>
        <w:t>На втором этапе согласования</w:t>
      </w:r>
      <w:r w:rsidRPr="00103889">
        <w:t>, кроме документов, перечисленных в п. 4.1. настоящего Регламента, дополнительно представляются:</w:t>
      </w:r>
    </w:p>
    <w:p w:rsidR="009D3D48" w:rsidRPr="00103889" w:rsidRDefault="009D3D48" w:rsidP="00A81E74">
      <w:pPr>
        <w:widowControl w:val="0"/>
        <w:spacing w:line="276" w:lineRule="auto"/>
        <w:ind w:firstLine="709"/>
        <w:jc w:val="both"/>
      </w:pPr>
      <w:r w:rsidRPr="00103889">
        <w:t>1) правоустанавливающий документ на земельный участок, необходимый для строительства, выданный в соответствии с требованиями земельного законодательства Российской Федерации (при согласовании строительства).</w:t>
      </w:r>
    </w:p>
    <w:p w:rsidR="009D3D48" w:rsidRPr="00103889" w:rsidRDefault="009D3D48" w:rsidP="00A81E74">
      <w:pPr>
        <w:widowControl w:val="0"/>
        <w:spacing w:line="276" w:lineRule="auto"/>
        <w:ind w:firstLine="709"/>
        <w:jc w:val="both"/>
      </w:pPr>
      <w:r w:rsidRPr="00103889">
        <w:t>2) копии ранее выданных Администрацией согласований (при их наличии).</w:t>
      </w:r>
    </w:p>
    <w:p w:rsidR="009D3D48" w:rsidRPr="00103889" w:rsidRDefault="009D3D48" w:rsidP="00A81E74">
      <w:pPr>
        <w:widowControl w:val="0"/>
        <w:spacing w:line="276" w:lineRule="auto"/>
        <w:ind w:firstLine="709"/>
        <w:jc w:val="both"/>
      </w:pPr>
      <w:r w:rsidRPr="00103889">
        <w:t>3) проектные материалы:</w:t>
      </w:r>
    </w:p>
    <w:p w:rsidR="009D3D48" w:rsidRPr="00103889" w:rsidRDefault="009D3D48" w:rsidP="00A81E74">
      <w:pPr>
        <w:widowControl w:val="0"/>
        <w:spacing w:line="276" w:lineRule="auto"/>
        <w:ind w:firstLine="709"/>
        <w:jc w:val="both"/>
      </w:pPr>
      <w:r w:rsidRPr="00103889">
        <w:t>- раздел «Общая пояснительная записка», в части, содержащей общие сведения о проектируемом (реконструируемом) объекте при пересечении им акватории и береговой полосы ВВП, в том числе назначение, местоположение, габариты, отметки и т.д., планируемых работах;</w:t>
      </w:r>
    </w:p>
    <w:p w:rsidR="009D3D48" w:rsidRPr="00103889" w:rsidRDefault="009D3D48" w:rsidP="00A81E74">
      <w:pPr>
        <w:widowControl w:val="0"/>
        <w:spacing w:line="276" w:lineRule="auto"/>
        <w:ind w:firstLine="709"/>
        <w:jc w:val="both"/>
      </w:pPr>
      <w:r w:rsidRPr="00103889">
        <w:t>- разделы «Акватория и водные подходы», «Рейд» (при строительстве причального сооружения);</w:t>
      </w:r>
    </w:p>
    <w:p w:rsidR="009D3D48" w:rsidRPr="00103889" w:rsidRDefault="009D3D48" w:rsidP="00A81E74">
      <w:pPr>
        <w:widowControl w:val="0"/>
        <w:spacing w:line="276" w:lineRule="auto"/>
        <w:ind w:firstLine="709"/>
        <w:jc w:val="both"/>
      </w:pPr>
      <w:r w:rsidRPr="00103889">
        <w:t>- расчет РСУ (для мостов);</w:t>
      </w:r>
    </w:p>
    <w:p w:rsidR="009D3D48" w:rsidRPr="00103889" w:rsidRDefault="009D3D48" w:rsidP="00A81E74">
      <w:pPr>
        <w:widowControl w:val="0"/>
        <w:spacing w:line="276" w:lineRule="auto"/>
        <w:ind w:firstLine="709"/>
        <w:jc w:val="both"/>
      </w:pPr>
      <w:r w:rsidRPr="00103889">
        <w:t xml:space="preserve">- расчет уровня высоких вод, расстояние от нижней точки провеса проводов </w:t>
      </w:r>
      <w:proofErr w:type="gramStart"/>
      <w:r w:rsidRPr="00103889">
        <w:t>ВЛ</w:t>
      </w:r>
      <w:proofErr w:type="gramEnd"/>
      <w:r w:rsidRPr="00103889">
        <w:t xml:space="preserve"> до уровня высоких вод (для воздушных линий электропередач, линий связи, тросовых паромных переправ); </w:t>
      </w:r>
    </w:p>
    <w:p w:rsidR="009D3D48" w:rsidRPr="00103889" w:rsidRDefault="009D3D48" w:rsidP="00A81E74">
      <w:pPr>
        <w:widowControl w:val="0"/>
        <w:spacing w:line="276" w:lineRule="auto"/>
        <w:ind w:firstLine="709"/>
        <w:jc w:val="both"/>
      </w:pPr>
      <w:r w:rsidRPr="00103889">
        <w:t>- архитектурные чертежи объекта (генеральный план, продольный профиль, поперечный разрез с нанесенными отметками в Балтийской системе (БС) и привязкой к проектному уровню);</w:t>
      </w:r>
    </w:p>
    <w:p w:rsidR="009D3D48" w:rsidRPr="00103889" w:rsidRDefault="009D3D48" w:rsidP="00A81E74">
      <w:pPr>
        <w:widowControl w:val="0"/>
        <w:spacing w:line="276" w:lineRule="auto"/>
        <w:ind w:firstLine="709"/>
        <w:jc w:val="both"/>
      </w:pPr>
      <w:r w:rsidRPr="00103889">
        <w:t xml:space="preserve">- раздел «Навигационное оборудование» (при необходимости). </w:t>
      </w:r>
    </w:p>
    <w:p w:rsidR="009D3D48" w:rsidRPr="00103889" w:rsidRDefault="009D3D48" w:rsidP="00A81E74">
      <w:pPr>
        <w:widowControl w:val="0"/>
        <w:spacing w:line="276" w:lineRule="auto"/>
        <w:ind w:firstLine="709"/>
        <w:jc w:val="both"/>
      </w:pPr>
      <w:r w:rsidRPr="00103889">
        <w:t>4) план русловой съемки участка давностью не более одного года с нанесенным на него</w:t>
      </w:r>
      <w:r>
        <w:t xml:space="preserve"> объектом (при необходимости). </w:t>
      </w:r>
    </w:p>
    <w:p w:rsidR="009D3D48" w:rsidRPr="00103889" w:rsidRDefault="009D3D48" w:rsidP="00A81E74">
      <w:pPr>
        <w:widowControl w:val="0"/>
        <w:spacing w:line="276" w:lineRule="auto"/>
        <w:ind w:firstLine="709"/>
        <w:jc w:val="both"/>
      </w:pPr>
      <w:r w:rsidRPr="00103889">
        <w:t>Допускается, в отдельных случаях, объединение первого и второго этапов согласования.</w:t>
      </w:r>
    </w:p>
    <w:p w:rsidR="009D3D48" w:rsidRPr="00103889" w:rsidRDefault="009D3D48" w:rsidP="00A81E74">
      <w:pPr>
        <w:widowControl w:val="0"/>
        <w:spacing w:before="120" w:line="276" w:lineRule="auto"/>
        <w:ind w:firstLine="709"/>
        <w:jc w:val="both"/>
      </w:pPr>
      <w:r w:rsidRPr="00103889">
        <w:rPr>
          <w:u w:val="single"/>
        </w:rPr>
        <w:t>На третьем этапе согласования</w:t>
      </w:r>
      <w:r w:rsidRPr="00103889">
        <w:t>, кроме документов, перечисленных в п. 4.1. настоящего Регламента, дополнительно предоставляются:</w:t>
      </w:r>
    </w:p>
    <w:p w:rsidR="009D3D48" w:rsidRPr="00103889" w:rsidRDefault="009D3D48" w:rsidP="00A81E74">
      <w:pPr>
        <w:widowControl w:val="0"/>
        <w:spacing w:line="276" w:lineRule="auto"/>
        <w:ind w:firstLine="709"/>
        <w:jc w:val="both"/>
      </w:pPr>
      <w:r w:rsidRPr="00103889">
        <w:t xml:space="preserve">- раздел «ПОС» и/или «ППР» проекта в части, содержащей сведения о планируемых работах на акватории и береговой полосе, в том числе типы используемых технических средств, их характеристики, технология применения, схемы производства работ; </w:t>
      </w:r>
    </w:p>
    <w:p w:rsidR="009D3D48" w:rsidRPr="00103889" w:rsidRDefault="009D3D48" w:rsidP="00A81E74">
      <w:pPr>
        <w:widowControl w:val="0"/>
        <w:spacing w:line="276" w:lineRule="auto"/>
        <w:ind w:firstLine="709"/>
        <w:jc w:val="both"/>
      </w:pPr>
      <w:r w:rsidRPr="00103889">
        <w:t>- раздел «Мероприятия по обеспечению безопасности судоходства при производстве работ по строительству (ремонту, реконструкции) на ВВП»;</w:t>
      </w:r>
    </w:p>
    <w:p w:rsidR="009D3D48" w:rsidRPr="00103889" w:rsidRDefault="009D3D48" w:rsidP="00A81E74">
      <w:pPr>
        <w:widowControl w:val="0"/>
        <w:spacing w:line="276" w:lineRule="auto"/>
        <w:ind w:firstLine="709"/>
        <w:jc w:val="both"/>
      </w:pPr>
      <w:r w:rsidRPr="00103889">
        <w:t xml:space="preserve">- разрешение на строительство, выданное (оформленное) в соответствии с требованиями градостроительного законодательства Российской Федерации (при </w:t>
      </w:r>
      <w:r w:rsidRPr="00103889">
        <w:lastRenderedPageBreak/>
        <w:t>согласовании строительства);</w:t>
      </w:r>
    </w:p>
    <w:p w:rsidR="009D3D48" w:rsidRPr="00103889" w:rsidRDefault="009D3D48" w:rsidP="00A81E74">
      <w:pPr>
        <w:widowControl w:val="0"/>
        <w:spacing w:line="276" w:lineRule="auto"/>
        <w:ind w:firstLine="709"/>
        <w:jc w:val="both"/>
      </w:pPr>
      <w:r w:rsidRPr="00103889">
        <w:t>- пояснительная записка, содержащая сведения о видах используемых технических средств на акватории, технологии их применения с приложением схем производства работ и мероприятий по обеспечению безопасности судоходства при их проведении (при необходимости).</w:t>
      </w:r>
    </w:p>
    <w:p w:rsidR="0097701C" w:rsidRDefault="009D3D48" w:rsidP="00A81E74">
      <w:pPr>
        <w:spacing w:line="276" w:lineRule="auto"/>
        <w:jc w:val="both"/>
      </w:pPr>
      <w:r w:rsidRPr="00103889">
        <w:t>- другие материалы (при необходимости)</w:t>
      </w:r>
      <w:bookmarkEnd w:id="0"/>
    </w:p>
    <w:sectPr w:rsidR="00977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48"/>
    <w:rsid w:val="0097701C"/>
    <w:rsid w:val="009D3D48"/>
    <w:rsid w:val="00A8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4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3D4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D3D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4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3D4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D3D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GBU-DOC\Karty\&#1057;&#1054;&#1043;&#1051;&#1040;&#1057;&#1054;&#1042;&#1040;&#1053;&#1048;&#1071;\&#1057;&#1072;&#1081;&#1090;%20&#1089;&#1086;&#1075;&#1083;&#1072;&#1089;&#1086;&#1074;&#1072;&#1085;&#1080;&#1081;\&#1047;&#1072;&#1103;&#1074;&#1083;&#1077;&#1085;&#1080;&#1077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ДьяченкоЕИ</dc:creator>
  <cp:lastModifiedBy>ДьяченкоЕИ</cp:lastModifiedBy>
  <cp:revision>2</cp:revision>
  <dcterms:created xsi:type="dcterms:W3CDTF">2017-02-03T01:39:00Z</dcterms:created>
  <dcterms:modified xsi:type="dcterms:W3CDTF">2017-02-03T05:12:00Z</dcterms:modified>
</cp:coreProperties>
</file>